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C5" w:rsidRDefault="00C56FC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6FC5" w:rsidRDefault="00C56FC5">
      <w:pPr>
        <w:pStyle w:val="ConsPlusNormal"/>
        <w:jc w:val="both"/>
        <w:outlineLvl w:val="0"/>
      </w:pPr>
    </w:p>
    <w:p w:rsidR="00C56FC5" w:rsidRDefault="00C56FC5">
      <w:pPr>
        <w:pStyle w:val="ConsPlusTitle"/>
        <w:jc w:val="center"/>
      </w:pPr>
      <w:r>
        <w:t>МИНИСТЕРСТВО ФИНАНСОВ РОССИЙСКОЙ ФЕДЕРАЦИИ</w:t>
      </w:r>
    </w:p>
    <w:p w:rsidR="00C56FC5" w:rsidRDefault="00C56FC5">
      <w:pPr>
        <w:pStyle w:val="ConsPlusTitle"/>
        <w:jc w:val="center"/>
      </w:pPr>
    </w:p>
    <w:p w:rsidR="00C56FC5" w:rsidRDefault="00C56FC5">
      <w:pPr>
        <w:pStyle w:val="ConsPlusTitle"/>
        <w:jc w:val="center"/>
      </w:pPr>
      <w:r>
        <w:t>ПИСЬМО</w:t>
      </w:r>
    </w:p>
    <w:p w:rsidR="00C56FC5" w:rsidRDefault="00C56FC5">
      <w:pPr>
        <w:pStyle w:val="ConsPlusTitle"/>
        <w:jc w:val="center"/>
      </w:pPr>
      <w:r>
        <w:t>от 13 января 2022 г. N 09-05-06/1377</w:t>
      </w:r>
    </w:p>
    <w:p w:rsidR="00C56FC5" w:rsidRDefault="00C56FC5">
      <w:pPr>
        <w:pStyle w:val="ConsPlusNormal"/>
        <w:jc w:val="both"/>
      </w:pPr>
    </w:p>
    <w:p w:rsidR="00C56FC5" w:rsidRDefault="00C56FC5">
      <w:pPr>
        <w:pStyle w:val="ConsPlusNormal"/>
        <w:ind w:firstLine="540"/>
        <w:jc w:val="both"/>
      </w:pPr>
      <w:r>
        <w:t>Министерство финансов Российской Федерации в связи с поступающими обращениями о применении положений законодательства Российской Федерации при заключении и исполнении получателями бюджетных средств договоров участия в долевом строительстве сообщает.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30 декабря 2004 года N 214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Закон N 214-ФЗ) одним из условий привлечения денежных средств долевого строительства является размещение денежных средств участников долевого строительства (к которым относятся получатели бюджетных средств) на</w:t>
      </w:r>
      <w:proofErr w:type="gramEnd"/>
      <w:r>
        <w:t xml:space="preserve"> </w:t>
      </w:r>
      <w:proofErr w:type="gramStart"/>
      <w:r>
        <w:t>счетах</w:t>
      </w:r>
      <w:proofErr w:type="gramEnd"/>
      <w:r>
        <w:t xml:space="preserve"> эскроу в порядке, предусмотренном </w:t>
      </w:r>
      <w:hyperlink r:id="rId7">
        <w:r>
          <w:rPr>
            <w:color w:val="0000FF"/>
          </w:rPr>
          <w:t>статьей 15.4</w:t>
        </w:r>
      </w:hyperlink>
      <w:r>
        <w:t xml:space="preserve"> Закона N 214-ФЗ.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Согласно положениям </w:t>
      </w:r>
      <w:hyperlink r:id="rId8">
        <w:r>
          <w:rPr>
            <w:color w:val="0000FF"/>
          </w:rPr>
          <w:t>пункта 18 статьи 241</w:t>
        </w:r>
      </w:hyperlink>
      <w:r>
        <w:t xml:space="preserve"> Бюджетного кодекса Российской Федерации (далее - Бюджетный кодекс) расчеты по договорам участия в долевом строительстве, заключаемым от имени Российской Федерации, субъекта Российской Федерации, муниципального образования, осуществляются с соблюдением особенностей, установленных </w:t>
      </w:r>
      <w:hyperlink r:id="rId9">
        <w:r>
          <w:rPr>
            <w:color w:val="0000FF"/>
          </w:rPr>
          <w:t>Законом</w:t>
        </w:r>
      </w:hyperlink>
      <w:r>
        <w:t xml:space="preserve"> N 214-ФЗ, с использованием счетов эскроу, открытых в уполномоченных банках, определяемых в соответствии с указанным Федеральным </w:t>
      </w:r>
      <w:hyperlink r:id="rId10">
        <w:r>
          <w:rPr>
            <w:color w:val="0000FF"/>
          </w:rPr>
          <w:t>законом</w:t>
        </w:r>
      </w:hyperlink>
      <w:r>
        <w:t>.</w:t>
      </w:r>
      <w:proofErr w:type="gramEnd"/>
    </w:p>
    <w:p w:rsidR="00C56FC5" w:rsidRDefault="00C56FC5">
      <w:pPr>
        <w:pStyle w:val="ConsPlusNormal"/>
        <w:spacing w:before="200"/>
        <w:ind w:firstLine="540"/>
        <w:jc w:val="both"/>
      </w:pPr>
      <w:r>
        <w:t xml:space="preserve">В силу положений </w:t>
      </w:r>
      <w:hyperlink r:id="rId11">
        <w:r>
          <w:rPr>
            <w:color w:val="0000FF"/>
          </w:rPr>
          <w:t>части 3 статьи 15.4</w:t>
        </w:r>
      </w:hyperlink>
      <w:r>
        <w:t xml:space="preserve"> Закона N 214-ФЗ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:rsidR="00C56FC5" w:rsidRDefault="00C56F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F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C5" w:rsidRDefault="00C56F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C5" w:rsidRDefault="00C56F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FC5" w:rsidRDefault="00C56F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6FC5" w:rsidRDefault="00C56FC5">
            <w:pPr>
              <w:pStyle w:val="ConsPlusNormal"/>
              <w:jc w:val="both"/>
            </w:pPr>
            <w:r>
              <w:rPr>
                <w:color w:val="392C69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 (</w:t>
            </w:r>
            <w:hyperlink r:id="rId1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14.03.2022 N 58-ФЗ).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C5" w:rsidRDefault="00C56FC5">
            <w:pPr>
              <w:pStyle w:val="ConsPlusNormal"/>
            </w:pPr>
          </w:p>
        </w:tc>
      </w:tr>
    </w:tbl>
    <w:p w:rsidR="00C56FC5" w:rsidRDefault="00C56FC5">
      <w:pPr>
        <w:pStyle w:val="ConsPlusNormal"/>
        <w:spacing w:before="260"/>
        <w:ind w:firstLine="540"/>
        <w:jc w:val="both"/>
      </w:pPr>
      <w:r>
        <w:t xml:space="preserve">Положениями </w:t>
      </w:r>
      <w:hyperlink r:id="rId13">
        <w:r>
          <w:rPr>
            <w:color w:val="0000FF"/>
          </w:rPr>
          <w:t>части 4 статьи 15.5</w:t>
        </w:r>
      </w:hyperlink>
      <w:r>
        <w:t xml:space="preserve"> Закона N 214-ФЗ установлено, что денежные средства вносятся участником долевого строительства на счет эскроу на срок условного депонирования, который не может превышать более чем на шесть месяцев срок ввода в эксплуатацию объекта долевого строительства.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В этой связи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29 ноября 2021 г. N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в </w:t>
      </w:r>
      <w:hyperlink r:id="rId15">
        <w:r>
          <w:rPr>
            <w:color w:val="0000FF"/>
          </w:rPr>
          <w:t>пункт 18 статьи 241</w:t>
        </w:r>
      </w:hyperlink>
      <w:r>
        <w:t xml:space="preserve"> Бюджетного кодекса внесено дополнение, в силу которого при исполнении договоров участия в долевом строительстве денежное обязательство по</w:t>
      </w:r>
      <w:proofErr w:type="gramEnd"/>
      <w:r>
        <w:t xml:space="preserve"> расходам получателя бюджетных сре</w:t>
      </w:r>
      <w:proofErr w:type="gramStart"/>
      <w:r>
        <w:t>дств сч</w:t>
      </w:r>
      <w:proofErr w:type="gramEnd"/>
      <w:r>
        <w:t>итается исполненным с момента поступления средств соответствующего бюджета на открытый в уполномоченном банке счет эскроу.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>Права на денежные средства, находящиеся на счете эскроу, принадлежат получателю бюджетных средств - участнику долевого строительства до даты возникновения оснований для передачи денежных средств застройщику, а после указанной даты - застройщику, что позволяет обеспечить право участника долевого строительства на гарантированный возврат средств в случае непередачи ему жилого помещения (</w:t>
      </w:r>
      <w:hyperlink r:id="rId16">
        <w:r>
          <w:rPr>
            <w:color w:val="0000FF"/>
          </w:rPr>
          <w:t>статья 860.7</w:t>
        </w:r>
      </w:hyperlink>
      <w:r>
        <w:t xml:space="preserve"> Гражданского кодекса Российской Федерации).</w:t>
      </w:r>
      <w:proofErr w:type="gramEnd"/>
    </w:p>
    <w:p w:rsidR="00C56FC5" w:rsidRDefault="00C56FC5">
      <w:pPr>
        <w:pStyle w:val="ConsPlusNormal"/>
        <w:spacing w:before="200"/>
        <w:ind w:firstLine="540"/>
        <w:jc w:val="both"/>
      </w:pPr>
      <w:r>
        <w:t>При этом ни получатель бюджетных средств как участник долевого строительства, ни застройщик не вправе распоряжаться денежными средствами, находящимися на счете эскроу (</w:t>
      </w:r>
      <w:hyperlink r:id="rId17">
        <w:r>
          <w:rPr>
            <w:color w:val="0000FF"/>
          </w:rPr>
          <w:t>статья 860.8</w:t>
        </w:r>
      </w:hyperlink>
      <w:r>
        <w:t xml:space="preserve"> Гражданского кодекса Российской Федерации).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Основанием для перечисления указанных средств застройщику является представление в уполномоченный банк разрешения на ввод в эксплуатацию многоквартирного дома и (или) иного объекта недвижимости, строительство которого было осуществлено с привлечением денежных </w:t>
      </w:r>
      <w:r>
        <w:lastRenderedPageBreak/>
        <w:t>средств участников долевого строительства, или сведений о размещении в единой информационной системе жилищного строительства этой информации (</w:t>
      </w:r>
      <w:hyperlink r:id="rId18">
        <w:r>
          <w:rPr>
            <w:color w:val="0000FF"/>
          </w:rPr>
          <w:t>пункт 6 статьи 15.5</w:t>
        </w:r>
      </w:hyperlink>
      <w:r>
        <w:t xml:space="preserve"> Закона N 214-ФЗ).</w:t>
      </w:r>
      <w:proofErr w:type="gramEnd"/>
    </w:p>
    <w:p w:rsidR="00C56FC5" w:rsidRDefault="00C56FC5">
      <w:pPr>
        <w:pStyle w:val="ConsPlusNormal"/>
        <w:spacing w:before="200"/>
        <w:ind w:firstLine="540"/>
        <w:jc w:val="both"/>
      </w:pPr>
      <w:r>
        <w:t>Учитывая изложенное, по мнению Минфина России, внесение денежных сре</w:t>
      </w:r>
      <w:proofErr w:type="gramStart"/>
      <w:r>
        <w:t>дств в сч</w:t>
      </w:r>
      <w:proofErr w:type="gramEnd"/>
      <w:r>
        <w:t>ет уплаты договоров участия в долевом строительстве с использованием механизма банковского счета эскроу является депонированием средств, а не перечислением авансового платежа.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Постановка на учет бюджетных и денежных обязательств, возникающих на основании договора участия в долевом строительстве, осуществляется в соответствии со </w:t>
      </w:r>
      <w:hyperlink r:id="rId19">
        <w:r>
          <w:rPr>
            <w:color w:val="0000FF"/>
          </w:rPr>
          <w:t>Сведениями</w:t>
        </w:r>
      </w:hyperlink>
      <w:r>
        <w:t xml:space="preserve"> о бюджетном обязательстве и </w:t>
      </w:r>
      <w:hyperlink r:id="rId20">
        <w:r>
          <w:rPr>
            <w:color w:val="0000FF"/>
          </w:rPr>
          <w:t>Сведениями</w:t>
        </w:r>
      </w:hyperlink>
      <w:r>
        <w:t xml:space="preserve"> о денежном обязательстве, сформированными получателем бюджетных средств с соблюдением требований, установленных </w:t>
      </w:r>
      <w:hyperlink r:id="rId21">
        <w:r>
          <w:rPr>
            <w:color w:val="0000FF"/>
          </w:rPr>
          <w:t>Порядком</w:t>
        </w:r>
      </w:hyperlink>
      <w:r>
        <w:t xml:space="preserve">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 приказом Министерства финансов Российской Федерации от 30 октября 2020</w:t>
      </w:r>
      <w:proofErr w:type="gramEnd"/>
      <w:r>
        <w:t xml:space="preserve"> г. N 258н (далее - Порядок N 258н).</w:t>
      </w:r>
    </w:p>
    <w:p w:rsidR="00C56FC5" w:rsidRDefault="00C56FC5">
      <w:pPr>
        <w:pStyle w:val="ConsPlusNormal"/>
        <w:spacing w:before="200"/>
        <w:ind w:firstLine="540"/>
        <w:jc w:val="both"/>
      </w:pPr>
      <w:r>
        <w:t xml:space="preserve">При этом в реквизитах контрагента Сведений о бюджетном обязательстве указываются как банковские реквизиты счета застройщика, указанные в договоре участия в долевом строительстве (при наличии), так и банковские реквизиты счетов эскроу (получателя бюджетных средств), на которые в силу положений </w:t>
      </w:r>
      <w:hyperlink r:id="rId22">
        <w:r>
          <w:rPr>
            <w:color w:val="0000FF"/>
          </w:rPr>
          <w:t>Закона</w:t>
        </w:r>
      </w:hyperlink>
      <w:r>
        <w:t xml:space="preserve"> N 214-ФЗ подлежат перечислению денежные средства участника долевого строительства. В </w:t>
      </w:r>
      <w:hyperlink r:id="rId23">
        <w:r>
          <w:rPr>
            <w:color w:val="0000FF"/>
          </w:rPr>
          <w:t>реквизите 8.5</w:t>
        </w:r>
      </w:hyperlink>
      <w:r>
        <w:t xml:space="preserve"> "Признак безусловности платежа" Сведений о бюджетном обязательстве указывается значение "Безусловное".</w:t>
      </w:r>
    </w:p>
    <w:p w:rsidR="00C56FC5" w:rsidRDefault="00C56FC5">
      <w:pPr>
        <w:pStyle w:val="ConsPlusNormal"/>
        <w:spacing w:before="200"/>
        <w:ind w:firstLine="540"/>
        <w:jc w:val="both"/>
      </w:pPr>
      <w:r>
        <w:t>При постановке на учет денежных обязательств по договорам участия в долевом строительстве документом, подтверждающим возникновение денежного обязательства, является указанный договор участия в долевом строительстве.</w:t>
      </w:r>
    </w:p>
    <w:p w:rsidR="00C56FC5" w:rsidRDefault="00C56FC5">
      <w:pPr>
        <w:pStyle w:val="ConsPlusNormal"/>
        <w:spacing w:before="200"/>
        <w:ind w:firstLine="540"/>
        <w:jc w:val="both"/>
      </w:pPr>
      <w:r>
        <w:t>При этом необходимо отметить, что при формировании получателем бюджетных сре</w:t>
      </w:r>
      <w:proofErr w:type="gramStart"/>
      <w:r>
        <w:t>дств Св</w:t>
      </w:r>
      <w:proofErr w:type="gramEnd"/>
      <w:r>
        <w:t xml:space="preserve">едений о денежном обязательстве, возникающих на основании договора участия в долевом строительстве, в Сведениях о денежном обязательстве в </w:t>
      </w:r>
      <w:hyperlink r:id="rId24">
        <w:r>
          <w:rPr>
            <w:color w:val="0000FF"/>
          </w:rPr>
          <w:t>реквизите 6.12</w:t>
        </w:r>
      </w:hyperlink>
      <w:r>
        <w:t xml:space="preserve"> "Признак платежа, требующего подтверждения" указывается значение "Да".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Также обращаем внимание, что согласно </w:t>
      </w:r>
      <w:hyperlink r:id="rId25">
        <w:r>
          <w:rPr>
            <w:color w:val="0000FF"/>
          </w:rPr>
          <w:t>части 1 статьи 8</w:t>
        </w:r>
      </w:hyperlink>
      <w:r>
        <w:t xml:space="preserve"> Закона N 214-ФЗ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строительства.</w:t>
      </w:r>
      <w:proofErr w:type="gramEnd"/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Кроме того, в соответствии с </w:t>
      </w:r>
      <w:hyperlink r:id="rId26">
        <w:r>
          <w:rPr>
            <w:color w:val="0000FF"/>
          </w:rPr>
          <w:t>частями 1</w:t>
        </w:r>
      </w:hyperlink>
      <w:r>
        <w:t xml:space="preserve"> и </w:t>
      </w:r>
      <w:hyperlink r:id="rId27">
        <w:r>
          <w:rPr>
            <w:color w:val="0000FF"/>
          </w:rPr>
          <w:t>7 статьи 94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исполнение контракта включает в себя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по</w:t>
      </w:r>
      <w:proofErr w:type="gramEnd"/>
      <w:r>
        <w:t xml:space="preserve"> </w:t>
      </w:r>
      <w:proofErr w:type="gramStart"/>
      <w:r>
        <w:t>результатам</w:t>
      </w:r>
      <w:proofErr w:type="gramEnd"/>
      <w:r>
        <w:t xml:space="preserve"> которой оформляется документ о приемке.</w:t>
      </w:r>
    </w:p>
    <w:p w:rsidR="00C56FC5" w:rsidRDefault="00C56FC5">
      <w:pPr>
        <w:pStyle w:val="ConsPlusNormal"/>
        <w:spacing w:before="200"/>
        <w:ind w:firstLine="540"/>
        <w:jc w:val="both"/>
      </w:pPr>
      <w:proofErr w:type="gramStart"/>
      <w:r>
        <w:t xml:space="preserve">После подписания заказчиком документа о приемке в электронной форме с использованием единой информационной системы в сфере закупок (далее - ЕИС в сфере закупок), либо без использования ЕИС в сфере закупок в установленных </w:t>
      </w:r>
      <w:hyperlink r:id="rId28">
        <w:r>
          <w:rPr>
            <w:color w:val="0000FF"/>
          </w:rPr>
          <w:t>Законом</w:t>
        </w:r>
      </w:hyperlink>
      <w:r>
        <w:t xml:space="preserve"> N 44-ФЗ случаях, и размещения в соответствии с </w:t>
      </w:r>
      <w:hyperlink r:id="rId29">
        <w:r>
          <w:rPr>
            <w:color w:val="0000FF"/>
          </w:rPr>
          <w:t>частью 3 статьи 103</w:t>
        </w:r>
      </w:hyperlink>
      <w:r>
        <w:t xml:space="preserve"> Закона N 44-ФЗ сведений об исполнении контракта в реестре контрактов, заключенных заказчиками, такой документ о приемке</w:t>
      </w:r>
      <w:proofErr w:type="gramEnd"/>
      <w:r>
        <w:t xml:space="preserve"> подлежит представлению в органы Федерального казначейства в соответствии с </w:t>
      </w:r>
      <w:hyperlink r:id="rId30">
        <w:r>
          <w:rPr>
            <w:color w:val="0000FF"/>
          </w:rPr>
          <w:t>абзацем четвертым пункта 22</w:t>
        </w:r>
      </w:hyperlink>
      <w:r>
        <w:t xml:space="preserve"> Порядка N 258н для подтверждения поставки товаров, выполнения работ, оказания услуг по ранее произведенным платежам, требующим подтверждения.</w:t>
      </w:r>
    </w:p>
    <w:p w:rsidR="00C56FC5" w:rsidRDefault="00C56FC5">
      <w:pPr>
        <w:pStyle w:val="ConsPlusNormal"/>
        <w:spacing w:before="200"/>
        <w:ind w:firstLine="540"/>
        <w:jc w:val="both"/>
      </w:pPr>
      <w:r>
        <w:t>При этом повторное представление в органы Федерального казначейства (размещение в реестре контрактов, заключенных заказчиками) договора участия в долевом строительстве в качестве документа, подтверждающего возникновение денежного обязательства, не требуется.</w:t>
      </w:r>
    </w:p>
    <w:p w:rsidR="00C56FC5" w:rsidRDefault="00C56FC5">
      <w:pPr>
        <w:pStyle w:val="ConsPlusNormal"/>
        <w:jc w:val="both"/>
      </w:pPr>
    </w:p>
    <w:p w:rsidR="00C56FC5" w:rsidRDefault="00C56FC5">
      <w:pPr>
        <w:pStyle w:val="ConsPlusNormal"/>
        <w:jc w:val="right"/>
      </w:pPr>
      <w:r>
        <w:t>А.М.ЛАВРОВ</w:t>
      </w:r>
    </w:p>
    <w:p w:rsidR="00C56FC5" w:rsidRDefault="00C56FC5">
      <w:pPr>
        <w:pStyle w:val="ConsPlusNormal"/>
        <w:jc w:val="both"/>
      </w:pPr>
    </w:p>
    <w:p w:rsidR="00C56FC5" w:rsidRDefault="00C56FC5">
      <w:pPr>
        <w:pStyle w:val="ConsPlusNormal"/>
        <w:jc w:val="both"/>
      </w:pPr>
    </w:p>
    <w:p w:rsidR="00C56FC5" w:rsidRDefault="00C56F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013" w:rsidRDefault="00BA4013">
      <w:bookmarkStart w:id="0" w:name="_GoBack"/>
      <w:bookmarkEnd w:id="0"/>
    </w:p>
    <w:sectPr w:rsidR="00BA4013" w:rsidSect="00F6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C5"/>
    <w:rsid w:val="00BA4013"/>
    <w:rsid w:val="00C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6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6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B91E63EA886DF1366E8FB89AEA7EB6DC1D63504FE503A9EF9CE9389CAFCE1563C96E6BABA2F59835044A1AD0DAD7AC6022CE91FC3TFyAL" TargetMode="External"/><Relationship Id="rId13" Type="http://schemas.openxmlformats.org/officeDocument/2006/relationships/hyperlink" Target="consultantplus://offline/ref=59BB91E63EA886DF1366E8FB89AEA7EB6DC2D53103FF503A9EF9CE9389CAFCE1563C96E1B9BA2851D70A54A5E45AA166C71B32EC01C3F818T3y6L" TargetMode="External"/><Relationship Id="rId18" Type="http://schemas.openxmlformats.org/officeDocument/2006/relationships/hyperlink" Target="consultantplus://offline/ref=59BB91E63EA886DF1366E8FB89AEA7EB6DC2D53103FF503A9EF9CE9389CAFCE1563C96E1B9BA2757D00A54A5E45AA166C71B32EC01C3F818T3y6L" TargetMode="External"/><Relationship Id="rId26" Type="http://schemas.openxmlformats.org/officeDocument/2006/relationships/hyperlink" Target="consultantplus://offline/ref=59BB91E63EA886DF1366E8FB89AEA7EB6DC1D43107F8503A9EF9CE9389CAFCE1563C96E1B9BB2C5BD60A54A5E45AA166C71B32EC01C3F818T3y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BB91E63EA886DF1366E8FB89AEA7EB6DC2D33003FA503A9EF9CE9389CAFCE1563C96E1B9BA2E53D10A54A5E45AA166C71B32EC01C3F818T3y6L" TargetMode="External"/><Relationship Id="rId7" Type="http://schemas.openxmlformats.org/officeDocument/2006/relationships/hyperlink" Target="consultantplus://offline/ref=59BB91E63EA886DF1366E8FB89AEA7EB6DC2D53103FF503A9EF9CE9389CAFCE1563C96E1B9BA2853D50A54A5E45AA166C71B32EC01C3F818T3y6L" TargetMode="External"/><Relationship Id="rId12" Type="http://schemas.openxmlformats.org/officeDocument/2006/relationships/hyperlink" Target="consultantplus://offline/ref=59BB91E63EA886DF1366E8FB89AEA7EB6DC2D53006F9503A9EF9CE9389CAFCE1563C96E1B9BA2E53D00A54A5E45AA166C71B32EC01C3F818T3y6L" TargetMode="External"/><Relationship Id="rId17" Type="http://schemas.openxmlformats.org/officeDocument/2006/relationships/hyperlink" Target="consultantplus://offline/ref=59BB91E63EA886DF1366E8FB89AEA7EB6AC4D33407F9503A9EF9CE9389CAFCE1563C96E4B8B92506864555F9A20EB264C11B30EB1DTCy3L" TargetMode="External"/><Relationship Id="rId25" Type="http://schemas.openxmlformats.org/officeDocument/2006/relationships/hyperlink" Target="consultantplus://offline/ref=59BB91E63EA886DF1366E8FB89AEA7EB6DC2D53103FF503A9EF9CE9389CAFCE1563C96E1B9BA2A54D10A54A5E45AA166C71B32EC01C3F818T3y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BB91E63EA886DF1366E8FB89AEA7EB6AC4D33407F9503A9EF9CE9389CAFCE1563C96E4B9B32506864555F9A20EB264C11B30EB1DTCy3L" TargetMode="External"/><Relationship Id="rId20" Type="http://schemas.openxmlformats.org/officeDocument/2006/relationships/hyperlink" Target="consultantplus://offline/ref=59BB91E63EA886DF1366E8FB89AEA7EB6DC2D33003FA503A9EF9CE9389CAFCE1563C96E1B9BA2C5BD10A54A5E45AA166C71B32EC01C3F818T3y6L" TargetMode="External"/><Relationship Id="rId29" Type="http://schemas.openxmlformats.org/officeDocument/2006/relationships/hyperlink" Target="consultantplus://offline/ref=59BB91E63EA886DF1366E8FB89AEA7EB6DC1D43107F8503A9EF9CE9389CAFCE1563C96E3B9BF2659835044A1AD0DAD7AC6022CE91FC3TFy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B91E63EA886DF1366E8FB89AEA7EB6DC2D53103FF503A9EF9CE9389CAFCE1443CCEEDBBBB3052D01F02F4A2T0yDL" TargetMode="External"/><Relationship Id="rId11" Type="http://schemas.openxmlformats.org/officeDocument/2006/relationships/hyperlink" Target="consultantplus://offline/ref=59BB91E63EA886DF1366E8FB89AEA7EB6DC2D53103FF503A9EF9CE9389CAFCE1563C96E1B9BA2853D20A54A5E45AA166C71B32EC01C3F818T3y6L" TargetMode="External"/><Relationship Id="rId24" Type="http://schemas.openxmlformats.org/officeDocument/2006/relationships/hyperlink" Target="consultantplus://offline/ref=59BB91E63EA886DF1366E8FB89AEA7EB6DC2D33003FA503A9EF9CE9389CAFCE1563C96E1B9BA2D51D40A54A5E45AA166C71B32EC01C3F818T3y6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9BB91E63EA886DF1366E8FB89AEA7EB6DC1D63504FE503A9EF9CE9389CAFCE1563C96E6B1BE2759835044A1AD0DAD7AC6022CE91FC3TFyAL" TargetMode="External"/><Relationship Id="rId23" Type="http://schemas.openxmlformats.org/officeDocument/2006/relationships/hyperlink" Target="consultantplus://offline/ref=59BB91E63EA886DF1366E8FB89AEA7EB6DC2D33003FA503A9EF9CE9389CAFCE1563C96E1B9BA2C55DE0A54A5E45AA166C71B32EC01C3F818T3y6L" TargetMode="External"/><Relationship Id="rId28" Type="http://schemas.openxmlformats.org/officeDocument/2006/relationships/hyperlink" Target="consultantplus://offline/ref=59BB91E63EA886DF1366E8FB89AEA7EB6DC1D43107F8503A9EF9CE9389CAFCE1443CCEEDBBBB3052D01F02F4A2T0yDL" TargetMode="External"/><Relationship Id="rId10" Type="http://schemas.openxmlformats.org/officeDocument/2006/relationships/hyperlink" Target="consultantplus://offline/ref=59BB91E63EA886DF1366E8FB89AEA7EB6DC2D53103FF503A9EF9CE9389CAFCE1443CCEEDBBBB3052D01F02F4A2T0yDL" TargetMode="External"/><Relationship Id="rId19" Type="http://schemas.openxmlformats.org/officeDocument/2006/relationships/hyperlink" Target="consultantplus://offline/ref=59BB91E63EA886DF1366E8FB89AEA7EB6DC2D33003FA503A9EF9CE9389CAFCE1563C96E1B9BA2F55DE0A54A5E45AA166C71B32EC01C3F818T3y6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B91E63EA886DF1366E8FB89AEA7EB6DC2D53103FF503A9EF9CE9389CAFCE1443CCEEDBBBB3052D01F02F4A2T0yDL" TargetMode="External"/><Relationship Id="rId14" Type="http://schemas.openxmlformats.org/officeDocument/2006/relationships/hyperlink" Target="consultantplus://offline/ref=59BB91E63EA886DF1366E8FB89AEA7EB6DC1D63407FD503A9EF9CE9389CAFCE1443CCEEDBBBB3052D01F02F4A2T0yDL" TargetMode="External"/><Relationship Id="rId22" Type="http://schemas.openxmlformats.org/officeDocument/2006/relationships/hyperlink" Target="consultantplus://offline/ref=59BB91E63EA886DF1366E8FB89AEA7EB6DC2D53103FF503A9EF9CE9389CAFCE1443CCEEDBBBB3052D01F02F4A2T0yDL" TargetMode="External"/><Relationship Id="rId27" Type="http://schemas.openxmlformats.org/officeDocument/2006/relationships/hyperlink" Target="consultantplus://offline/ref=59BB91E63EA886DF1366E8FB89AEA7EB6DC1D43107F8503A9EF9CE9389CAFCE1563C96E2B0BF2F59835044A1AD0DAD7AC6022CE91FC3TFyAL" TargetMode="External"/><Relationship Id="rId30" Type="http://schemas.openxmlformats.org/officeDocument/2006/relationships/hyperlink" Target="consultantplus://offline/ref=59BB91E63EA886DF1366E8FB89AEA7EB6DC2D33003FA503A9EF9CE9389CAFCE1563C96E1B9BA2F50D70A54A5E45AA166C71B32EC01C3F818T3y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2022-07-21T11:50:00Z</dcterms:created>
  <dcterms:modified xsi:type="dcterms:W3CDTF">2022-07-21T11:50:00Z</dcterms:modified>
</cp:coreProperties>
</file>